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935A">
      <w:pPr>
        <w:spacing w:after="0"/>
      </w:pPr>
      <w:r>
        <w:t>Согласно перечню работ (услуг), составляющих медицинскую деятельность Общество с ограниченной ответственностью «Акесо клиник» в соответствии с лицензией, размещённой на официальном сайте (https://kinetiq.pro/), при оказании первичной медико-санитарной помощи организует и выполняет при оказании первичной специализированной медико-санитарной помощи в амбулаторных условиях услуги по физиотерапевтическим процедурам с применением аппарата INDIBA (физиоэстетика лица и тела).</w:t>
      </w:r>
    </w:p>
    <w:p w14:paraId="277EB2DA">
      <w:pPr>
        <w:spacing w:after="0"/>
      </w:pPr>
      <w:r>
        <w:rPr>
          <w:b/>
          <w:bCs/>
        </w:rPr>
        <w:t>Цели оказания медицинской помощи:</w:t>
      </w:r>
      <w:r>
        <w:t xml:space="preserve"> активация клеточного метаболизма и микроциркуляции, стимуляция синтеза коллагена и эластина, лифтинг и улучшение контуров лица, уменьшение выраженности морщин и складок, улучшение тонуса и тургора кожи, восстановление гидробаланса кожи, уменьшение отечности лица. Стимуляция реструктуризации тканей и повышение ее эластичности, что останавливает выработку фиброза. Оказывает липолитическое и антиадипогенное действие, что помогает в борьбе с целлюлитом фиброзного типа.</w:t>
      </w:r>
    </w:p>
    <w:p w14:paraId="120BEE0E">
      <w:pPr>
        <w:spacing w:after="0"/>
      </w:pPr>
      <w:r>
        <w:rPr>
          <w:b/>
          <w:bCs/>
        </w:rPr>
        <w:t>Методы оказания медицинской помощи:</w:t>
      </w:r>
      <w:r>
        <w:t xml:space="preserve"> процедура представляет собой метод аппаратной косметологии и физиотерапии, основанный на воздействии высокочастотным током (448 кГц) для воздействия на ткани на клеточном уровне. Методика разработана и специально подобрана в зависимости от эстетических проблем и особенностей пациента.</w:t>
      </w:r>
    </w:p>
    <w:p w14:paraId="3AB6E324">
      <w:pPr>
        <w:spacing w:after="0"/>
      </w:pPr>
      <w:r>
        <w:t>Сеансы физиоэстетики проводятся в формах общей и специальной коррекции. Общая коррекция направлена на улучшение состояния кожи лица в целом, специальная - на решение конкретных проблем (птоз, отеки, глубокие морщины, рубцовые изменения, реабилитация после пластической операции). Главным условием эффективности метода является курсовое систематическое проведение процедур.</w:t>
      </w:r>
    </w:p>
    <w:p w14:paraId="225088C0">
      <w:pPr>
        <w:spacing w:after="0"/>
      </w:pPr>
      <w:r>
        <w:t>Процедура оказывается с применением следующего медицинского оборудования: аппарат INDIBA Activ, а также с использованием одноразовых и многоразовых аксессуаров (электроды различных форм и размеров).</w:t>
      </w:r>
    </w:p>
    <w:p w14:paraId="04008339">
      <w:pPr>
        <w:spacing w:after="0"/>
      </w:pPr>
      <w:r>
        <w:t>Рекомендуется проведение сеанса без металлических украшений на лице и теле. Перед процедурой кожа очищается.</w:t>
      </w:r>
    </w:p>
    <w:p w14:paraId="597990A0">
      <w:pPr>
        <w:spacing w:after="0"/>
      </w:pPr>
      <w:r>
        <w:t>Процедура на аппарате INDIBA осуществляется следующим образом: медицинским работником наносится на кожу пациента специальный проводящий крем (токопроводящий), после чего производится воздействие активным электродом по массажным линиям.</w:t>
      </w:r>
    </w:p>
    <w:p w14:paraId="62835FEA">
      <w:pPr>
        <w:spacing w:after="0"/>
      </w:pPr>
      <w:r>
        <w:rPr>
          <w:b/>
          <w:bCs/>
        </w:rPr>
        <w:t xml:space="preserve">Результаты оказания медицинской помощи: </w:t>
      </w:r>
      <w:r>
        <w:t>активация клеточного метаболизма и микроциркуляции, стимуляция синтеза коллагена и эластина, лифтинг и улучшение контуров лица, уменьшение выраженности морщин и складок, улучшение тонуса и тургора кожи, восстановление гидробаланса кожи, уменьшение отечности.</w:t>
      </w:r>
    </w:p>
    <w:p w14:paraId="4FCDAD2D">
      <w:pPr>
        <w:spacing w:after="0"/>
        <w:rPr>
          <w:b/>
          <w:bCs/>
        </w:rPr>
      </w:pPr>
      <w:r>
        <w:rPr>
          <w:b/>
          <w:bCs/>
        </w:rPr>
        <w:t>Противопоказания к медицинскому вмешательству:</w:t>
      </w:r>
    </w:p>
    <w:p w14:paraId="6E488C7C">
      <w:pPr>
        <w:pStyle w:val="4"/>
        <w:numPr>
          <w:ilvl w:val="0"/>
          <w:numId w:val="1"/>
        </w:numPr>
        <w:spacing w:after="0"/>
      </w:pPr>
      <w:r>
        <w:t>Онкологические заболевания (в области воздействия и в анамнезе);</w:t>
      </w:r>
    </w:p>
    <w:p w14:paraId="7042707F">
      <w:pPr>
        <w:pStyle w:val="4"/>
        <w:numPr>
          <w:ilvl w:val="0"/>
          <w:numId w:val="1"/>
        </w:numPr>
        <w:spacing w:after="0"/>
      </w:pPr>
      <w:r>
        <w:t>Наличие кардиостимулятора;</w:t>
      </w:r>
    </w:p>
    <w:p w14:paraId="3FE2B74A">
      <w:pPr>
        <w:pStyle w:val="4"/>
        <w:numPr>
          <w:ilvl w:val="0"/>
          <w:numId w:val="1"/>
        </w:numPr>
        <w:spacing w:after="0"/>
      </w:pPr>
      <w:r>
        <w:t>Острые воспалительные и инфекционные заболевания;</w:t>
      </w:r>
    </w:p>
    <w:p w14:paraId="779E7529">
      <w:pPr>
        <w:pStyle w:val="4"/>
        <w:numPr>
          <w:ilvl w:val="0"/>
          <w:numId w:val="1"/>
        </w:numPr>
        <w:spacing w:after="0"/>
      </w:pPr>
      <w:r>
        <w:t>Тромбофлебит;</w:t>
      </w:r>
    </w:p>
    <w:p w14:paraId="74CBB060">
      <w:pPr>
        <w:pStyle w:val="4"/>
        <w:numPr>
          <w:ilvl w:val="0"/>
          <w:numId w:val="1"/>
        </w:numPr>
        <w:spacing w:after="0"/>
      </w:pPr>
      <w:r>
        <w:t>Индивидуальная непереносимость электропроцедур;</w:t>
      </w:r>
    </w:p>
    <w:p w14:paraId="0302970B">
      <w:pPr>
        <w:pStyle w:val="4"/>
        <w:numPr>
          <w:ilvl w:val="0"/>
          <w:numId w:val="1"/>
        </w:numPr>
        <w:spacing w:after="0"/>
      </w:pPr>
      <w:r>
        <w:t>Беременность и период лактации</w:t>
      </w:r>
      <w:r>
        <w:rPr>
          <w:rFonts w:hint="default"/>
          <w:lang w:val="ru-RU"/>
        </w:rPr>
        <w:t xml:space="preserve"> (с осторожностью).</w:t>
      </w:r>
      <w:bookmarkStart w:id="0" w:name="_GoBack"/>
      <w:bookmarkEnd w:id="0"/>
    </w:p>
    <w:p w14:paraId="00B59022">
      <w:pPr>
        <w:spacing w:after="0"/>
        <w:rPr>
          <w:b/>
          <w:bCs/>
        </w:rPr>
      </w:pPr>
      <w:r>
        <w:rPr>
          <w:b/>
          <w:bCs/>
        </w:rPr>
        <w:t>Относительные противопоказания к медицинскому вмешательству:</w:t>
      </w:r>
    </w:p>
    <w:p w14:paraId="5067298A">
      <w:pPr>
        <w:pStyle w:val="4"/>
        <w:numPr>
          <w:ilvl w:val="0"/>
          <w:numId w:val="2"/>
        </w:numPr>
        <w:spacing w:after="0"/>
      </w:pPr>
      <w:r>
        <w:t>Купероз в стадии декомпенсации,</w:t>
      </w:r>
    </w:p>
    <w:p w14:paraId="20B16E06">
      <w:pPr>
        <w:pStyle w:val="4"/>
        <w:numPr>
          <w:ilvl w:val="0"/>
          <w:numId w:val="2"/>
        </w:numPr>
        <w:spacing w:after="0"/>
      </w:pPr>
      <w:r>
        <w:t>Герпетические высыпания в зоне воздействия,</w:t>
      </w:r>
    </w:p>
    <w:p w14:paraId="51D6A7C8">
      <w:pPr>
        <w:pStyle w:val="4"/>
        <w:numPr>
          <w:ilvl w:val="0"/>
          <w:numId w:val="2"/>
        </w:numPr>
        <w:spacing w:after="0"/>
      </w:pPr>
      <w:r>
        <w:t>Недавно проведенные инъекционные процедуры (менее 2-х недель),</w:t>
      </w:r>
    </w:p>
    <w:p w14:paraId="2E3C6534">
      <w:pPr>
        <w:pStyle w:val="4"/>
        <w:numPr>
          <w:ilvl w:val="0"/>
          <w:numId w:val="2"/>
        </w:numPr>
        <w:spacing w:after="0"/>
      </w:pPr>
      <w:r>
        <w:t>Повреждения целостности кожного покрова в зоне воздействия.</w:t>
      </w:r>
    </w:p>
    <w:p w14:paraId="31C39E67">
      <w:pPr>
        <w:spacing w:after="0"/>
      </w:pPr>
    </w:p>
    <w:p w14:paraId="4A775DE3">
      <w:pPr>
        <w:spacing w:after="0"/>
      </w:pPr>
      <w:r>
        <w:t>Сокрытие от медицинских работников наличия противопоказаний к процедуре может повысить риск наступления нежелательных последствий, осложнений, а также снизить эффект от процедуры.</w:t>
      </w:r>
    </w:p>
    <w:p w14:paraId="150459E0">
      <w:pPr>
        <w:spacing w:after="0"/>
      </w:pPr>
    </w:p>
    <w:p w14:paraId="787D82FC">
      <w:pPr>
        <w:spacing w:after="0"/>
      </w:pPr>
    </w:p>
    <w:p w14:paraId="0216E8D9">
      <w:pPr>
        <w:spacing w:after="0"/>
        <w:rPr>
          <w:b/>
          <w:bCs/>
        </w:rPr>
      </w:pPr>
      <w:r>
        <w:rPr>
          <w:b/>
          <w:bCs/>
        </w:rPr>
        <w:t>Вероятные осложнения:</w:t>
      </w:r>
    </w:p>
    <w:p w14:paraId="43EF8481">
      <w:pPr>
        <w:spacing w:after="0"/>
      </w:pPr>
    </w:p>
    <w:p w14:paraId="56BB2121">
      <w:pPr>
        <w:pStyle w:val="4"/>
        <w:numPr>
          <w:ilvl w:val="0"/>
          <w:numId w:val="3"/>
        </w:numPr>
        <w:spacing w:after="0"/>
      </w:pPr>
      <w:r>
        <w:t>Общие: покраснение (гиперемия) кожи в зоне воздействия, ощущение тепла, покалывания или легкого жжения во время процедуры, которые являются нормальной реакцией и проходят самостоятельно в течение короткого времени после сеанса.</w:t>
      </w:r>
    </w:p>
    <w:p w14:paraId="63F2DEC8">
      <w:pPr>
        <w:pStyle w:val="4"/>
        <w:numPr>
          <w:ilvl w:val="0"/>
          <w:numId w:val="3"/>
        </w:numPr>
        <w:spacing w:after="0"/>
      </w:pPr>
      <w:r>
        <w:t>Специфические:</w:t>
      </w:r>
    </w:p>
    <w:p w14:paraId="775978CB">
      <w:pPr>
        <w:pStyle w:val="4"/>
        <w:spacing w:after="0"/>
        <w:ind w:left="360"/>
      </w:pPr>
      <w:r>
        <w:t>Кожа: аллергическая реакция на проводящий гель, обострение акне, усиление купероза.</w:t>
      </w:r>
    </w:p>
    <w:p w14:paraId="3E7BF14B">
      <w:pPr>
        <w:pStyle w:val="4"/>
        <w:spacing w:after="0"/>
        <w:ind w:left="360"/>
      </w:pPr>
      <w:r>
        <w:t>Подкожно-жировая клетчатка: локальный отек.</w:t>
      </w:r>
    </w:p>
    <w:p w14:paraId="33E4934D">
      <w:pPr>
        <w:pStyle w:val="4"/>
        <w:spacing w:after="0"/>
        <w:ind w:left="360"/>
      </w:pPr>
      <w:r>
        <w:t>Общее состояние: кратковременное повышение артериального давления, головокружение, головная боль (как реакция на интенсивное тепловое воздействие).</w:t>
      </w:r>
    </w:p>
    <w:p w14:paraId="5D31729C">
      <w:pPr>
        <w:spacing w:after="0"/>
      </w:pPr>
    </w:p>
    <w:p w14:paraId="4D06AC01">
      <w:pPr>
        <w:spacing w:after="0"/>
      </w:pPr>
      <w:r>
        <w:rPr>
          <w:b/>
          <w:bCs/>
        </w:rPr>
        <w:t>Рекомендации после процедуры:</w:t>
      </w:r>
      <w:r>
        <w:t xml:space="preserve"> после сеанса физиоэстетики на аппарате INDIBA пациенту рекомендовано воздержаться от нанесения декоративной косметики в течение 2-3 часов, избегать воздействия высоких и низких температур (посещение сауны, бани, солярия, принятие контрастного душа) в течение 24 часов, а также использовать солнцезащитные средства в течение всего курса процедур. Для закрепления результата необходимо соблюдать питьевой режим и применять рекомендованные врачом уходовые средства.</w:t>
      </w:r>
    </w:p>
    <w:p w14:paraId="14017A55">
      <w:pPr>
        <w:spacing w:after="0"/>
      </w:pPr>
    </w:p>
    <w:p w14:paraId="07F482B4">
      <w:pPr>
        <w:spacing w:after="0"/>
      </w:pPr>
      <w:r>
        <w:rPr>
          <w:b/>
          <w:bCs/>
        </w:rPr>
        <w:t>Право на отказ:</w:t>
      </w:r>
      <w:r>
        <w:t xml:space="preserve"> 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C0FB6"/>
    <w:multiLevelType w:val="multilevel"/>
    <w:tmpl w:val="133C0FB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0"/>
      <w:numFmt w:val="bullet"/>
      <w:lvlText w:val="·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B540EEC"/>
    <w:multiLevelType w:val="multilevel"/>
    <w:tmpl w:val="1B540EE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DDB2C43"/>
    <w:multiLevelType w:val="multilevel"/>
    <w:tmpl w:val="6DDB2C4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E2"/>
    <w:rsid w:val="00023FE2"/>
    <w:rsid w:val="00251058"/>
    <w:rsid w:val="004D074D"/>
    <w:rsid w:val="004E7121"/>
    <w:rsid w:val="009758C8"/>
    <w:rsid w:val="009B28DF"/>
    <w:rsid w:val="00BE5B22"/>
    <w:rsid w:val="00D236FB"/>
    <w:rsid w:val="3371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3857</Characters>
  <Lines>32</Lines>
  <Paragraphs>9</Paragraphs>
  <TotalTime>39</TotalTime>
  <ScaleCrop>false</ScaleCrop>
  <LinksUpToDate>false</LinksUpToDate>
  <CharactersWithSpaces>4524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2025-08-20T09:08:00Z</dcterms:created>
  <dc:creator>Medods03</dc:creator>
  <cp:lastModifiedBy>Kinetiq</cp:lastModifiedBy>
  <dcterms:modified xsi:type="dcterms:W3CDTF">2025-08-28T04:34:20Z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77F3CDB9BC0647088E75F450291A130E_12</vt:lpwstr>
  </property>
</Properties>
</file>